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F55" w:rsidRPr="00996F55" w:rsidRDefault="00996F55" w:rsidP="00996F55">
      <w:pPr>
        <w:shd w:val="clear" w:color="auto" w:fill="FFFFFF"/>
        <w:spacing w:after="240" w:line="365" w:lineRule="atLeast"/>
        <w:ind w:left="57" w:right="57"/>
        <w:outlineLvl w:val="1"/>
        <w:rPr>
          <w:rFonts w:ascii="Arial" w:eastAsia="Times New Roman" w:hAnsi="Arial" w:cs="Arial"/>
          <w:caps/>
          <w:color w:val="222222"/>
          <w:sz w:val="30"/>
          <w:szCs w:val="30"/>
          <w:lang w:eastAsia="ru-RU"/>
        </w:rPr>
      </w:pPr>
      <w:bookmarkStart w:id="0" w:name="_GoBack"/>
      <w:bookmarkEnd w:id="0"/>
      <w:r w:rsidRPr="00996F55">
        <w:rPr>
          <w:rFonts w:ascii="Arial" w:eastAsia="Times New Roman" w:hAnsi="Arial" w:cs="Arial"/>
          <w:caps/>
          <w:color w:val="222222"/>
          <w:sz w:val="30"/>
          <w:szCs w:val="30"/>
          <w:lang w:eastAsia="ru-RU"/>
        </w:rPr>
        <w:t>О ПРАВАХ И ОБЯЗАННОСТЯХ ФИЗИЧЕСКИХ ЛИЦ, О ТРЕБОВАНИЯХ, ПРЕДЪЯВЛЯЕМЫХ К СОБСТВЕННИКАМ ЖИЛЫХ ДОМОВ, СОБСТВЕННИКАМИ ПОМЕЩЕНИЙ В МНОГОКВАРТИРНЫХ ДОМАХ, ЛИЦАМ, ОТВЕТСТВЕННЫМ ЗА СОДЕРЖАНИЕ МНОГОКВАРТИРНЫХ ДОМОВ В ОБЛАСТИ ЭНЕРГОСБЕРЕЖЕНИЯ</w:t>
      </w:r>
    </w:p>
    <w:p w:rsidR="00996F55" w:rsidRPr="00996F55" w:rsidRDefault="00996F55" w:rsidP="00996F55">
      <w:pPr>
        <w:shd w:val="clear" w:color="auto" w:fill="FFFFFF"/>
        <w:spacing w:after="0" w:line="319" w:lineRule="atLeast"/>
        <w:ind w:left="113" w:right="113"/>
        <w:jc w:val="center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  <w:r w:rsidRPr="00996F55">
        <w:rPr>
          <w:rFonts w:ascii="inherit" w:eastAsia="Times New Roman" w:hAnsi="inherit" w:cs="Arial"/>
          <w:b/>
          <w:bCs/>
          <w:color w:val="222222"/>
          <w:sz w:val="25"/>
          <w:lang w:eastAsia="ru-RU"/>
        </w:rPr>
        <w:t>ИНФОРМАЦИЯ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</w:r>
      <w:r w:rsidRPr="00996F55">
        <w:rPr>
          <w:rFonts w:ascii="inherit" w:eastAsia="Times New Roman" w:hAnsi="inherit" w:cs="Arial"/>
          <w:b/>
          <w:bCs/>
          <w:color w:val="222222"/>
          <w:sz w:val="25"/>
          <w:lang w:eastAsia="ru-RU"/>
        </w:rPr>
        <w:t>по исполнению Федерального закона № 261 от 23.11.2009 г. о правах и обязанностях физических лиц, о требованиях, предъявляемых к собственникам жилых домов, собственниками помещений в многоквартирных домах, лицам, ответственным за содержание многоквартирных домов, и об иных требованиях указанного выше Федерального закона.</w:t>
      </w:r>
    </w:p>
    <w:p w:rsidR="00996F55" w:rsidRPr="00996F55" w:rsidRDefault="00996F55" w:rsidP="00996F55">
      <w:pPr>
        <w:shd w:val="clear" w:color="auto" w:fill="FFFFFF"/>
        <w:spacing w:after="0" w:line="319" w:lineRule="atLeast"/>
        <w:ind w:left="113" w:right="113"/>
        <w:jc w:val="center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  <w:r>
        <w:rPr>
          <w:rFonts w:ascii="inherit" w:eastAsia="Times New Roman" w:hAnsi="inherit" w:cs="Arial"/>
          <w:b/>
          <w:bCs/>
          <w:noProof/>
          <w:color w:val="222222"/>
          <w:sz w:val="25"/>
          <w:szCs w:val="25"/>
          <w:lang w:eastAsia="ru-RU"/>
        </w:rPr>
        <w:drawing>
          <wp:inline distT="0" distB="0" distL="0" distR="0">
            <wp:extent cx="2514600" cy="2514600"/>
            <wp:effectExtent l="19050" t="0" r="0" b="0"/>
            <wp:docPr id="1" name="Рисунок 1" descr="http://kavalerskoesp.ru/images/ener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valerskoesp.ru/images/ener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F55" w:rsidRDefault="00996F55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  <w:r w:rsidRPr="00996F55">
        <w:rPr>
          <w:rFonts w:ascii="inherit" w:eastAsia="Times New Roman" w:hAnsi="inherit" w:cs="Arial"/>
          <w:b/>
          <w:bCs/>
          <w:color w:val="222222"/>
          <w:sz w:val="25"/>
          <w:lang w:eastAsia="ru-RU"/>
        </w:rPr>
        <w:t>Обязательна ли установка приборов учёта энергоресурсов?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Да, обязательна. Согласно закону расчёты за энергетические ресурсы, включая воду, должны осуществляться на основании данных об их количественном значении, определенных при помощи приборов учёта.</w:t>
      </w:r>
    </w:p>
    <w:p w:rsidR="005B7972" w:rsidRPr="00996F55" w:rsidRDefault="005B7972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</w:p>
    <w:p w:rsidR="00996F55" w:rsidRDefault="00996F55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  <w:r w:rsidRPr="00996F55">
        <w:rPr>
          <w:rFonts w:ascii="inherit" w:eastAsia="Times New Roman" w:hAnsi="inherit" w:cs="Arial"/>
          <w:b/>
          <w:bCs/>
          <w:color w:val="222222"/>
          <w:sz w:val="25"/>
          <w:lang w:eastAsia="ru-RU"/>
        </w:rPr>
        <w:t>В какие сроки необходимо установить приборы учета энергоресурсов?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Федеральным законом от 23.11.2009 № 261-ФЗ на собственников помещений в многоквартирных домах и собственников жилых домов возложена обязанность по установке приборов учета энергоресурсов.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В соответствии с Федеральным законом (в ред. от 18.07.2011) от 23.11.2009 № 261-ФЗ до 1 июля 2012 года собственники помещений в многоквартирных домах обязаны обеспечить установку приборов учета воды, тепловой энергии, электрической энергии, а природного газа – в срок до 1 января 2015 года.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С 1 января 2012 г. вводимые в эксплуатацию и реконструируемые многоквартирные жилые дома должны оснащаться индивидуальными теплосчётчиками в квартирах.</w:t>
      </w:r>
      <w:r w:rsidR="005B7972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С момента принятия закона не допускается ввод в эксплуатацию зданий, строений, сооружений без оснащения их приборами учёта энергоресурсов и воды.</w:t>
      </w:r>
    </w:p>
    <w:p w:rsidR="005B7972" w:rsidRPr="00996F55" w:rsidRDefault="005B7972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</w:p>
    <w:p w:rsidR="00996F55" w:rsidRDefault="00996F55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  <w:r w:rsidRPr="00996F55">
        <w:rPr>
          <w:rFonts w:ascii="inherit" w:eastAsia="Times New Roman" w:hAnsi="inherit" w:cs="Arial"/>
          <w:b/>
          <w:bCs/>
          <w:color w:val="222222"/>
          <w:sz w:val="25"/>
          <w:lang w:eastAsia="ru-RU"/>
        </w:rPr>
        <w:lastRenderedPageBreak/>
        <w:t>Кто должен оплачивать установку приборов учёта?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Закон обязывает собственников зданий, строений, сооружений, жилых, дачных или садовых домов, помещений в многоквартирных домах нести расходы на установку приборов учёта.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Если собственник не в состоянии оплатить прибор учёта и его установку сразу, организация-поставщик энергоресурсов обязана предоставить рассрочку по платежам со сроком до 5 лет. Процент за такой кредит устанавливается по действующей на момент заключения договора об установке приборов учёта ставке рефинансирования Центробанка РФ.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Установка коллективных приборов учета осуществляется за счет средств собственников помещений в многоквартирном доме.</w:t>
      </w:r>
    </w:p>
    <w:p w:rsidR="005B7972" w:rsidRPr="00996F55" w:rsidRDefault="005B7972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</w:p>
    <w:p w:rsidR="00996F55" w:rsidRDefault="00996F55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  <w:r w:rsidRPr="00996F55">
        <w:rPr>
          <w:rFonts w:ascii="inherit" w:eastAsia="Times New Roman" w:hAnsi="inherit" w:cs="Arial"/>
          <w:b/>
          <w:bCs/>
          <w:color w:val="222222"/>
          <w:sz w:val="25"/>
          <w:lang w:eastAsia="ru-RU"/>
        </w:rPr>
        <w:t>Нужно ли собственникам помещений многоквартирного дома собирать общее собрание для принятия решения об установке приборов учёта?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Да, нужно. Прежде чем приступать к организации в доме учёта тепла, необходимо коллективное решение собственников, принятое большинством голосов на общем собрании. Поскольку будущий узел учёта станет общедомовой собственностью, оплата оборудования и работ целиком или частично (в случае участия в федеральных, областных или муниципальных программах) распределяется между всеми собственниками квартир.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 xml:space="preserve">Задача управляющей компании или правления ТСЖ, ЖСК – донести информацию до собственников, что установка приборов учёта необходима согласно закону об энергосбережении и отказ от установки грозит принудительными мерами по установке приборов учёта со стороны </w:t>
      </w:r>
      <w:proofErr w:type="spell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энергоснабжающей</w:t>
      </w:r>
      <w:proofErr w:type="spell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организации и разбирательством в суде. УК или правление ТСЖ, ЖСК должны предложить собственникам варианты: перечень компаний, с которыми имеется возможность заключить договор на установку приборов учёта энергоресурсов и их предложения по стоимости работ и качеству предлагаемого оборудования.</w:t>
      </w:r>
    </w:p>
    <w:p w:rsidR="005B7972" w:rsidRPr="00996F55" w:rsidRDefault="005B7972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</w:p>
    <w:p w:rsidR="00996F55" w:rsidRDefault="00996F55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  <w:r w:rsidRPr="00996F55">
        <w:rPr>
          <w:rFonts w:ascii="inherit" w:eastAsia="Times New Roman" w:hAnsi="inherit" w:cs="Arial"/>
          <w:b/>
          <w:bCs/>
          <w:color w:val="222222"/>
          <w:sz w:val="25"/>
          <w:lang w:eastAsia="ru-RU"/>
        </w:rPr>
        <w:t>Какую выгоду получит потребитель при установке прибора учета?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Установка прибора учета направлена, прежде всего, к переходу на оплату за фактическую величину потребленного ресурса, определяемого по показаниям прибора учета.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В соответствии с Правилами предоставления коммунальных услуг гражданам, утвержденными постановлением Правительства РФ от 23.05.2006 № 307, на примере многоквартирного дома, в помещениях которого отсутствуют коллективные приборы учета, и наличии общих и индивидуальных приборов учета энергоресурсов можно отметить следующее. В случае</w:t>
      </w:r>
      <w:proofErr w:type="gram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,</w:t>
      </w:r>
      <w:proofErr w:type="gram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если величина норматива потребления коммунальной услуги меньше фактической величины потребления ресурса, измеренного по показаниям прибора учета, то при установке прибора учета размер платы, вследствие возросшего фактического потребления ресурса, увеличится, а если норматив был высокий – то граждане соответственно будут платить меньше.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</w:r>
      <w:proofErr w:type="gram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Если в доме установлен коллективный прибор учета, то размер платы за коммунальную услугу (холодное водоснабжение, горячее водоснабжение, газоснабжение и электроснабжение) для граждан, установивших индивидуальный 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lastRenderedPageBreak/>
        <w:t>приборы учета, будет зависеть от отношения объема коммунального ресурса, определенного по показаниям коллективного прибора учета, к сумме объема ресурса, измеренного индивидуальными приборами учета, и объема ресурса, определенного исходя из норматива потребления коммунальной услуги.</w:t>
      </w:r>
      <w:proofErr w:type="gram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Вышеуказанные Правила предоставления коммунальных услуг гражданам утратят силу в связи с принятием постановления Правительства РФ от 06.05.2011 № 354 со дня вступления в силу Правил предоставления коммунальных услуг собственникам и пользователям помещений в многоквартирных домах и жилых домов.</w:t>
      </w:r>
    </w:p>
    <w:p w:rsidR="005B7972" w:rsidRPr="00996F55" w:rsidRDefault="005B7972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</w:p>
    <w:p w:rsidR="00996F55" w:rsidRDefault="00996F55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  <w:r w:rsidRPr="00996F55">
        <w:rPr>
          <w:rFonts w:ascii="inherit" w:eastAsia="Times New Roman" w:hAnsi="inherit" w:cs="Arial"/>
          <w:b/>
          <w:bCs/>
          <w:color w:val="222222"/>
          <w:sz w:val="25"/>
          <w:lang w:eastAsia="ru-RU"/>
        </w:rPr>
        <w:t>Есть ли исключения из требований по установке приборов учета?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</w:r>
      <w:proofErr w:type="gram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На основании ч. 1 ст. 13 Федерального закона от 23.11.2009 № 261-ФЗ требования в части организации учета используемых энергетических ресурсов не распространяются на ветхие, аварийные объекты, объекты, подлежащие сносу или капитальному ремонту до 1 января 2013 года, а также объекты, мощность потребления электрической энергии которых составляет менее чем пять киловатт (в отношении организации учета используемой электрической энергии) или максимальный объем потребления</w:t>
      </w:r>
      <w:proofErr w:type="gram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тепловой </w:t>
      </w:r>
      <w:proofErr w:type="gram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энергии</w:t>
      </w:r>
      <w:proofErr w:type="gram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которых составляет менее чем две десятых </w:t>
      </w:r>
      <w:proofErr w:type="spell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гигакалории</w:t>
      </w:r>
      <w:proofErr w:type="spell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в час (в отношении организации учета используемой тепловой энергии).</w:t>
      </w:r>
    </w:p>
    <w:p w:rsidR="005B7972" w:rsidRPr="00996F55" w:rsidRDefault="005B7972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</w:p>
    <w:p w:rsidR="00996F55" w:rsidRDefault="00996F55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  <w:r w:rsidRPr="00996F55">
        <w:rPr>
          <w:rFonts w:ascii="inherit" w:eastAsia="Times New Roman" w:hAnsi="inherit" w:cs="Arial"/>
          <w:b/>
          <w:bCs/>
          <w:color w:val="222222"/>
          <w:sz w:val="25"/>
          <w:lang w:eastAsia="ru-RU"/>
        </w:rPr>
        <w:t>Кто имеет право устанавливать приборы учёта энергоресурсов?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Приборы учёта имеют право устанавливать организации-поставщики энергоресурсов и специализированные организации. Данные организации должны иметь профильных специалистов необходимого уровня квалификации, деятельность по установке приборов учёта должна быть прописана в уставных документах организации, организация должна быть членом СРО в строительстве и иметь выданное СРО свидетельство о допуске к данному конкретному виду работ.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Поставщики энергоресурсов не только имеют право, а обязаны осуществлять деятельность по установке, замене, эксплуатации приборов учёта используемых энергетических ресурсов, снабжение которыми или передачу которых они осуществляют.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 xml:space="preserve">До 1 июля 2010 г. </w:t>
      </w:r>
      <w:proofErr w:type="spell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энергоснабжающие</w:t>
      </w:r>
      <w:proofErr w:type="spell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организации должны были предоставить собственникам помещений в многоквартирных домах, лицам, ответственным за содержание многоквартирных домов и лицам, представляющим интересы собственников, предложения об оснащении приборами учёта используемых энергоресурсов.</w:t>
      </w:r>
    </w:p>
    <w:p w:rsidR="005B7972" w:rsidRPr="00996F55" w:rsidRDefault="005B7972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</w:p>
    <w:p w:rsidR="00996F55" w:rsidRDefault="00996F55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  <w:r w:rsidRPr="00996F55">
        <w:rPr>
          <w:rFonts w:ascii="inherit" w:eastAsia="Times New Roman" w:hAnsi="inherit" w:cs="Arial"/>
          <w:b/>
          <w:bCs/>
          <w:color w:val="222222"/>
          <w:sz w:val="25"/>
          <w:lang w:eastAsia="ru-RU"/>
        </w:rPr>
        <w:t>Кто участвует в оформлении акта ввода индивидуального прибора учета в эксплуатацию? Имеет ли право исполнитель коммунальной услуги требовать деньги за пломбирование и последующее обслуживание счетчиков?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 xml:space="preserve">После установки индивидуального прибора учета потребитель должен направить заявление исполнителю коммунальной услуги (управляющая организация, товарищество собственников жилья, а при непосредственном управлении – </w:t>
      </w:r>
      <w:proofErr w:type="spell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ресурсоснабжающая</w:t>
      </w:r>
      <w:proofErr w:type="spell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организация) о согласовании установки прибора учета и внесении необходимых изменений в договор на поставку ресурса.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lastRenderedPageBreak/>
        <w:t>После подачи заявления представитель исполнителя коммунальной услуги, организация, установившая прибор учета, и потребитель оформляют акт ввода прибора учета в эксплуатацию.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 xml:space="preserve">В целях </w:t>
      </w:r>
      <w:proofErr w:type="gram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исключения случаев бесконтрольного демонтажа прибора учета</w:t>
      </w:r>
      <w:proofErr w:type="gram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производится пломбирование установки прибора учета. Услуга по пломбированию прибора учета не подлежит государственному регулированию и определяется на основании прейскуранта цен исполнителя коммунальной услуги.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Необходимо отметить, что поскольку ввод прибора учета в эксплуатацию может быть осуществлен только исполнителем коммунальной услуги, то по вопросу обоснованности калькуляции затрат на ввод прибора учета в эксплуатацию исполнителя коммунальной услуги потребитель может обратиться в управление Федеральной антимонопольной службы по Нижегородской области.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По желанию потребитель вправе заключить договор о техническом обслуживании прибора учета. Техническое обслуживание прибора учета может включать работы по прочистке фильтров, проверке сохранности пломб, осмотру состояния и визуальному контролю работы счетчиков.</w:t>
      </w:r>
    </w:p>
    <w:p w:rsidR="005B7972" w:rsidRPr="00996F55" w:rsidRDefault="005B7972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</w:p>
    <w:p w:rsidR="00996F55" w:rsidRDefault="00996F55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  <w:r w:rsidRPr="00996F55">
        <w:rPr>
          <w:rFonts w:ascii="inherit" w:eastAsia="Times New Roman" w:hAnsi="inherit" w:cs="Arial"/>
          <w:b/>
          <w:bCs/>
          <w:color w:val="222222"/>
          <w:sz w:val="25"/>
          <w:lang w:eastAsia="ru-RU"/>
        </w:rPr>
        <w:t>Какую ответственность несут собственники за отказ от установки приборов учёта?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 xml:space="preserve">Если до 1 июля 2012 г. т до 1 января 2015 г. (см. выше) в ответ на предложения по установке приборов учёта от поставщика энергоресурсов потребитель не установит счётчик, то </w:t>
      </w:r>
      <w:proofErr w:type="spell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энергоснабжающая</w:t>
      </w:r>
      <w:proofErr w:type="spell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организация вправе принудительно его установить, и взыскать по суду с потребителя все расходы по установке плюс судебные издержки.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</w:r>
      <w:proofErr w:type="spell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Ресурсоснабжающие</w:t>
      </w:r>
      <w:proofErr w:type="spell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организации не вправе отказать обратившимся к ним лицам в заключени</w:t>
      </w:r>
      <w:proofErr w:type="gram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и</w:t>
      </w:r>
      <w:proofErr w:type="gram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договора, регулирующего условия установки, замены и (или) эксплуатации приборов учёта используемых ресурсов, снабжение которыми или передачу которых они осуществляют. Цена такого договора определяется соглашением сторон. Порядок заключения и существенные условия такого договора утверждены приказом Министерства энергетики Российской Федерации от 07.04.2010 № 149.</w:t>
      </w:r>
    </w:p>
    <w:p w:rsidR="005B7972" w:rsidRPr="00996F55" w:rsidRDefault="005B7972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</w:p>
    <w:p w:rsidR="00996F55" w:rsidRDefault="00996F55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  <w:r w:rsidRPr="00996F55">
        <w:rPr>
          <w:rFonts w:ascii="inherit" w:eastAsia="Times New Roman" w:hAnsi="inherit" w:cs="Arial"/>
          <w:b/>
          <w:bCs/>
          <w:color w:val="222222"/>
          <w:sz w:val="25"/>
          <w:lang w:eastAsia="ru-RU"/>
        </w:rPr>
        <w:t xml:space="preserve">Кто осуществляет </w:t>
      </w:r>
      <w:proofErr w:type="gramStart"/>
      <w:r w:rsidRPr="00996F55">
        <w:rPr>
          <w:rFonts w:ascii="inherit" w:eastAsia="Times New Roman" w:hAnsi="inherit" w:cs="Arial"/>
          <w:b/>
          <w:bCs/>
          <w:color w:val="222222"/>
          <w:sz w:val="25"/>
          <w:lang w:eastAsia="ru-RU"/>
        </w:rPr>
        <w:t>контроль за</w:t>
      </w:r>
      <w:proofErr w:type="gramEnd"/>
      <w:r w:rsidRPr="00996F55">
        <w:rPr>
          <w:rFonts w:ascii="inherit" w:eastAsia="Times New Roman" w:hAnsi="inherit" w:cs="Arial"/>
          <w:b/>
          <w:bCs/>
          <w:color w:val="222222"/>
          <w:sz w:val="25"/>
          <w:lang w:eastAsia="ru-RU"/>
        </w:rPr>
        <w:t xml:space="preserve"> соблюдением обязанностей по установке приборов учёта энергоресурсов?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</w:r>
      <w:proofErr w:type="gram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Контроль за</w:t>
      </w:r>
      <w:proofErr w:type="gram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соблюдением данных обязанностей осуществляет Федеральная антимонопольная служба (ФАС) и Федеральная служба по экологическому, технологическому и атомному надзору (</w:t>
      </w:r>
      <w:proofErr w:type="spell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Ростехнадзор</w:t>
      </w:r>
      <w:proofErr w:type="spell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) и их территориальные органы в субъектах РФ.</w:t>
      </w:r>
    </w:p>
    <w:p w:rsidR="005B7972" w:rsidRPr="00996F55" w:rsidRDefault="005B7972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</w:p>
    <w:p w:rsidR="00996F55" w:rsidRDefault="00996F55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  <w:r w:rsidRPr="00996F55">
        <w:rPr>
          <w:rFonts w:ascii="inherit" w:eastAsia="Times New Roman" w:hAnsi="inherit" w:cs="Arial"/>
          <w:b/>
          <w:bCs/>
          <w:color w:val="222222"/>
          <w:sz w:val="25"/>
          <w:lang w:eastAsia="ru-RU"/>
        </w:rPr>
        <w:t>Предусмотрены ли штрафные санкции за не соблюдение обязанностей по установке приборов учёта энергоресурсов?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Да, предусмотрены. Законом об энергосбережении (статья 37) внесены поправки в Кодекс Российской Федерации об административных правонарушениях (КоАП).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Несоблюдение требований законодательства об установке приборов учёта (стадии проектирования, реконструкции, капитального ремонта, строительства) – штраф на должностных лиц от 20 до 30 тыс. руб., на организацию от 500 до 600 тыс. руб.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lastRenderedPageBreak/>
        <w:t xml:space="preserve">Несоблюдение требований к поставщикам энергоресурсов по предложению установки приборов учёта собственникам жилых домов, дачных, садовых домов и их представителям. </w:t>
      </w:r>
      <w:proofErr w:type="gram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Штраф на должностных лиц от 20 до 30 тыс. руб., на </w:t>
      </w:r>
      <w:proofErr w:type="spell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юрлиц</w:t>
      </w:r>
      <w:proofErr w:type="spell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от 100 до 150 тыс. руб.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Необоснованный отказ или уклонение организации, на которую возложена обязанность по установке, замене, эксплуатации приборов учёта используемых энергетических ресурсов, от заключения соответствующего договора и (или) от его исполнения, а равно нарушение установленного порядка его заключения, либо несоблюдение установленных для нее в качестве обязательных</w:t>
      </w:r>
      <w:proofErr w:type="gram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требований об установке, замене, эксплуатации приборов учёта используемых энергетических ресурсов – штраф на должностных лиц от 20 до 30 тыс. рублей; </w:t>
      </w:r>
      <w:proofErr w:type="gram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на ИП – от 20 до 30 тыс. руб.; на юридических лиц – от 50 до 100 тыс. руб.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 xml:space="preserve">Несоблюдение требований об оснащении жилого дома приборами учёта лицами, ответственными за содержание многоквартирных домов – штраф на ответственное лицо от 10 до 15 тыс. руб., на </w:t>
      </w:r>
      <w:proofErr w:type="spell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юрлиц</w:t>
      </w:r>
      <w:proofErr w:type="spell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от 20 до 30 тыс. руб.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Несоблюдение требований об оснащении нежилых зданий, строений, сооружений приборами учёта лицами</w:t>
      </w:r>
      <w:proofErr w:type="gram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, </w:t>
      </w:r>
      <w:proofErr w:type="gram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ответственными за их содержание – штраф на должностных лиц от 10 до 15 тыс. руб., на ИП от 25 до 35 тыс. руб., на </w:t>
      </w:r>
      <w:proofErr w:type="spell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юрлиц</w:t>
      </w:r>
      <w:proofErr w:type="spell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от 100 до 150 тыс. руб.</w:t>
      </w:r>
      <w:proofErr w:type="gramEnd"/>
    </w:p>
    <w:p w:rsidR="005B7972" w:rsidRPr="00996F55" w:rsidRDefault="005B7972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</w:p>
    <w:p w:rsidR="00996F55" w:rsidRDefault="00996F55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  <w:r w:rsidRPr="00996F55">
        <w:rPr>
          <w:rFonts w:ascii="inherit" w:eastAsia="Times New Roman" w:hAnsi="inherit" w:cs="Arial"/>
          <w:b/>
          <w:bCs/>
          <w:color w:val="222222"/>
          <w:sz w:val="25"/>
          <w:lang w:eastAsia="ru-RU"/>
        </w:rPr>
        <w:t>Кто осуществляет техническое обслуживание и ремонт приборов учёта?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 xml:space="preserve">Собственник обязан обеспечить эксплуатацию приборов учёта в соответствии с техническими требованиями на прибор. Таким образом, у владельца узла учёта должен быть заключен договор на техническое обслуживание приборов учёта с обслуживающей организацией (например, это может быть организация по установке приборов учёта, </w:t>
      </w:r>
      <w:proofErr w:type="spell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энергоснабжающая</w:t>
      </w:r>
      <w:proofErr w:type="spell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организация, управляющая компания).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Работы по ремонту приборов учёта выполняются на предприятиях-изготовителях приборов или специализированном ремонтном предприятии в соответствии с утвержденным технологическим процессом. После ремонта прибора учёта необходимо провести внеочередную поверку.</w:t>
      </w:r>
    </w:p>
    <w:p w:rsidR="005B7972" w:rsidRPr="00996F55" w:rsidRDefault="005B7972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</w:p>
    <w:p w:rsidR="00996F55" w:rsidRDefault="00996F55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  <w:r w:rsidRPr="00996F55">
        <w:rPr>
          <w:rFonts w:ascii="inherit" w:eastAsia="Times New Roman" w:hAnsi="inherit" w:cs="Arial"/>
          <w:b/>
          <w:bCs/>
          <w:color w:val="222222"/>
          <w:sz w:val="25"/>
          <w:lang w:eastAsia="ru-RU"/>
        </w:rPr>
        <w:t>Кто осуществляет и оплачивает поверку приборов учёта?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 xml:space="preserve">В обязанности собственника входит обеспечение достоверности показаний приборов учёта, в частности, их своевременная метрологическая поверка, т.е. </w:t>
      </w:r>
      <w:proofErr w:type="gram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поверка</w:t>
      </w:r>
      <w:proofErr w:type="gram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оплачивается из собственных средств собственника.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Метрологическое обеспечение достоверности показаний приборов учёта заключается в периодической их поверке в специализированной организации (например, в лаборатории регионального центра стандартизации и метрологии или в организации, имеющей в своем распоряжении соответствующие испытательные лаборатории).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 xml:space="preserve">На основании постановления правительства РФ от 20.04.10 № 250, начиная с 2012 г. поверка средств измерений количества электроэнергии, расхода холодной и горячей воды и газа, должна осуществляться только аккредитованными государственными региональными центрами метрологии. Поскольку в устройство узла учёта тепловой энергии входит и расходомер, то это требование будет относиться и к 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lastRenderedPageBreak/>
        <w:t>коммерческому учёту тепловой энергии.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Суть метрологической поверки заключается в испытаниях прибора учёта на более точном оборудовании.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 xml:space="preserve">Периодичность поверки указана в паспорте на прибор учёта. </w:t>
      </w:r>
      <w:proofErr w:type="spell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Межповерочный</w:t>
      </w:r>
      <w:proofErr w:type="spell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интервал (МПИ) приборов учёта тепловой энергии и счётчика горячей воды, как правило, составляет 4 года, а счётчика холодной воды – 6 лет.</w:t>
      </w:r>
    </w:p>
    <w:p w:rsidR="005B7972" w:rsidRPr="00996F55" w:rsidRDefault="005B7972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</w:p>
    <w:p w:rsidR="00996F55" w:rsidRDefault="00996F55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  <w:r w:rsidRPr="00996F55">
        <w:rPr>
          <w:rFonts w:ascii="inherit" w:eastAsia="Times New Roman" w:hAnsi="inherit" w:cs="Arial"/>
          <w:b/>
          <w:bCs/>
          <w:color w:val="222222"/>
          <w:sz w:val="25"/>
          <w:lang w:eastAsia="ru-RU"/>
        </w:rPr>
        <w:t>Каковы последствия эксплуатации непроверенных приборов?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Эксплуатация непроверенного прибора учёта запрещается и расценивается поставщиком энергоресурса как отсутствие прибора учёта со всеми вытекающими для потребителя последствиями. Непосредственно на время проведения поверки разрешается оплата услуг по усреднённому расходу.</w:t>
      </w:r>
    </w:p>
    <w:p w:rsidR="005B7972" w:rsidRPr="00996F55" w:rsidRDefault="005B7972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</w:p>
    <w:p w:rsidR="00996F55" w:rsidRPr="00996F55" w:rsidRDefault="00996F55" w:rsidP="00996F55">
      <w:pPr>
        <w:shd w:val="clear" w:color="auto" w:fill="FFFFFF"/>
        <w:spacing w:after="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  <w:r w:rsidRPr="00996F55">
        <w:rPr>
          <w:rFonts w:ascii="inherit" w:eastAsia="Times New Roman" w:hAnsi="inherit" w:cs="Arial"/>
          <w:b/>
          <w:bCs/>
          <w:color w:val="222222"/>
          <w:sz w:val="25"/>
          <w:lang w:eastAsia="ru-RU"/>
        </w:rPr>
        <w:t>Какие приборы учёта энергии можно применять?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Следует устанавливать только те приборы учёта, которые включены в государственный реестр средств измерений и допущенные к применению на территории Российской Федерации.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 xml:space="preserve">Однако даже включение прибора в </w:t>
      </w:r>
      <w:proofErr w:type="spell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Госреестр</w:t>
      </w:r>
      <w:proofErr w:type="spell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не гарантирует его качества. Поэтому необходимо вводить систему качества в теплоснабжении, помогающую теплоснабжающим и </w:t>
      </w:r>
      <w:proofErr w:type="spellStart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теплопотребляющим</w:t>
      </w:r>
      <w:proofErr w:type="spellEnd"/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 xml:space="preserve"> организациям применять передовой опыт, прогрессивное оборудование и новые технологические решения в области коммерческого учёта тепловой энергии.</w:t>
      </w: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br/>
        <w:t>Кроме того, правилами пользования электрической, тепловой энергии, воды и газа установлены требования к классу точности применяемых приборов учёта не ниже установленного порога. Класс точности – это возможная погрешность прибора учёта в диапазоне измерений, выраженная в процентах. Чем больше число, обозначающее класс точности, тем ниже точность прибора.</w:t>
      </w:r>
    </w:p>
    <w:p w:rsidR="00996F55" w:rsidRPr="00996F55" w:rsidRDefault="00996F55" w:rsidP="00996F55">
      <w:pPr>
        <w:shd w:val="clear" w:color="auto" w:fill="FFFFFF"/>
        <w:spacing w:after="240" w:line="319" w:lineRule="atLeast"/>
        <w:ind w:left="113" w:right="113"/>
        <w:rPr>
          <w:rFonts w:ascii="inherit" w:eastAsia="Times New Roman" w:hAnsi="inherit" w:cs="Arial"/>
          <w:color w:val="222222"/>
          <w:sz w:val="25"/>
          <w:szCs w:val="25"/>
          <w:lang w:eastAsia="ru-RU"/>
        </w:rPr>
      </w:pPr>
      <w:r w:rsidRPr="00996F55">
        <w:rPr>
          <w:rFonts w:ascii="inherit" w:eastAsia="Times New Roman" w:hAnsi="inherit" w:cs="Arial"/>
          <w:color w:val="222222"/>
          <w:sz w:val="25"/>
          <w:szCs w:val="25"/>
          <w:lang w:eastAsia="ru-RU"/>
        </w:rPr>
        <w:t> </w:t>
      </w:r>
    </w:p>
    <w:p w:rsidR="00B14156" w:rsidRDefault="00B14156"/>
    <w:sectPr w:rsidR="00B14156" w:rsidSect="00B14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6F55"/>
    <w:rsid w:val="00010DE6"/>
    <w:rsid w:val="000D0E23"/>
    <w:rsid w:val="000F2688"/>
    <w:rsid w:val="000F588A"/>
    <w:rsid w:val="001376CB"/>
    <w:rsid w:val="00196E2F"/>
    <w:rsid w:val="001E0B97"/>
    <w:rsid w:val="002078EE"/>
    <w:rsid w:val="002A31B4"/>
    <w:rsid w:val="002B3B92"/>
    <w:rsid w:val="002C2969"/>
    <w:rsid w:val="002F731A"/>
    <w:rsid w:val="00303366"/>
    <w:rsid w:val="00303661"/>
    <w:rsid w:val="0030533C"/>
    <w:rsid w:val="003D108C"/>
    <w:rsid w:val="003F5ADA"/>
    <w:rsid w:val="00406D49"/>
    <w:rsid w:val="00407B2E"/>
    <w:rsid w:val="0041051F"/>
    <w:rsid w:val="00417582"/>
    <w:rsid w:val="00433AEB"/>
    <w:rsid w:val="0045651E"/>
    <w:rsid w:val="00494E26"/>
    <w:rsid w:val="004B32A4"/>
    <w:rsid w:val="004C320E"/>
    <w:rsid w:val="004D13DB"/>
    <w:rsid w:val="004D367F"/>
    <w:rsid w:val="00527B07"/>
    <w:rsid w:val="00543FE6"/>
    <w:rsid w:val="00564F31"/>
    <w:rsid w:val="005B7972"/>
    <w:rsid w:val="00612A54"/>
    <w:rsid w:val="006228AF"/>
    <w:rsid w:val="00647C14"/>
    <w:rsid w:val="006509EF"/>
    <w:rsid w:val="00651A5E"/>
    <w:rsid w:val="0066388A"/>
    <w:rsid w:val="00691047"/>
    <w:rsid w:val="00754193"/>
    <w:rsid w:val="007A4777"/>
    <w:rsid w:val="007C7CD3"/>
    <w:rsid w:val="007D1446"/>
    <w:rsid w:val="007F28CB"/>
    <w:rsid w:val="007F738E"/>
    <w:rsid w:val="00822B52"/>
    <w:rsid w:val="0089085B"/>
    <w:rsid w:val="008A07B7"/>
    <w:rsid w:val="00911D96"/>
    <w:rsid w:val="009355EF"/>
    <w:rsid w:val="00977CF1"/>
    <w:rsid w:val="00996F55"/>
    <w:rsid w:val="009B20CA"/>
    <w:rsid w:val="009C62F1"/>
    <w:rsid w:val="009E645D"/>
    <w:rsid w:val="00A45D1B"/>
    <w:rsid w:val="00A766C9"/>
    <w:rsid w:val="00AB7090"/>
    <w:rsid w:val="00AD3C96"/>
    <w:rsid w:val="00AE7303"/>
    <w:rsid w:val="00AF0F92"/>
    <w:rsid w:val="00AF1FF9"/>
    <w:rsid w:val="00AF5DDD"/>
    <w:rsid w:val="00B14156"/>
    <w:rsid w:val="00B449FC"/>
    <w:rsid w:val="00B60FD2"/>
    <w:rsid w:val="00B854AA"/>
    <w:rsid w:val="00BA5E5F"/>
    <w:rsid w:val="00C06918"/>
    <w:rsid w:val="00C9126B"/>
    <w:rsid w:val="00CB35AD"/>
    <w:rsid w:val="00CD4AB2"/>
    <w:rsid w:val="00D3235D"/>
    <w:rsid w:val="00D85EF9"/>
    <w:rsid w:val="00DB7475"/>
    <w:rsid w:val="00DE7D99"/>
    <w:rsid w:val="00E11005"/>
    <w:rsid w:val="00E66629"/>
    <w:rsid w:val="00EE1DB8"/>
    <w:rsid w:val="00EE5AE3"/>
    <w:rsid w:val="00F255D1"/>
    <w:rsid w:val="00F47EF3"/>
    <w:rsid w:val="00FB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56"/>
  </w:style>
  <w:style w:type="paragraph" w:styleId="2">
    <w:name w:val="heading 2"/>
    <w:basedOn w:val="a"/>
    <w:link w:val="20"/>
    <w:uiPriority w:val="9"/>
    <w:qFormat/>
    <w:rsid w:val="00996F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6F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96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6F5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96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F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2177</Words>
  <Characters>12412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Admin</cp:lastModifiedBy>
  <cp:revision>7</cp:revision>
  <cp:lastPrinted>2022-02-11T07:17:00Z</cp:lastPrinted>
  <dcterms:created xsi:type="dcterms:W3CDTF">2020-11-10T10:09:00Z</dcterms:created>
  <dcterms:modified xsi:type="dcterms:W3CDTF">2022-02-11T07:17:00Z</dcterms:modified>
</cp:coreProperties>
</file>